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6882"/>
        <w:gridCol w:w="1476"/>
      </w:tblGrid>
      <w:tr w:rsidR="007517C2" w14:paraId="09B4DB94" w14:textId="77777777" w:rsidTr="00945F81">
        <w:trPr>
          <w:jc w:val="center"/>
        </w:trPr>
        <w:tc>
          <w:tcPr>
            <w:tcW w:w="643" w:type="pct"/>
            <w:vAlign w:val="center"/>
          </w:tcPr>
          <w:p w14:paraId="7946BE10" w14:textId="77777777" w:rsidR="007517C2" w:rsidRPr="00A23DCF" w:rsidRDefault="007517C2" w:rsidP="00945F81">
            <w:pPr>
              <w:jc w:val="center"/>
              <w:rPr>
                <w:sz w:val="16"/>
                <w:szCs w:val="16"/>
              </w:rPr>
            </w:pPr>
            <w:r w:rsidRPr="00A23DCF">
              <w:rPr>
                <w:rFonts w:ascii="Albertus Extra Bold" w:hAnsi="Albertus Extra Bold"/>
                <w:sz w:val="16"/>
                <w:szCs w:val="16"/>
              </w:rPr>
              <w:object w:dxaOrig="2557" w:dyaOrig="2681" w14:anchorId="5E195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8.5pt" o:ole="">
                  <v:imagedata r:id="rId6" o:title=""/>
                </v:shape>
                <o:OLEObject Type="Embed" ProgID="Word.Picture.8" ShapeID="_x0000_i1025" DrawAspect="Content" ObjectID="_1769496463" r:id="rId7"/>
              </w:object>
            </w:r>
          </w:p>
        </w:tc>
        <w:tc>
          <w:tcPr>
            <w:tcW w:w="3599" w:type="pct"/>
            <w:vAlign w:val="center"/>
          </w:tcPr>
          <w:p w14:paraId="29F65610" w14:textId="77777777" w:rsidR="007517C2" w:rsidRPr="00A23DCF" w:rsidRDefault="007517C2" w:rsidP="00945F81">
            <w:pPr>
              <w:pStyle w:val="Titolo1"/>
              <w:rPr>
                <w:rFonts w:ascii="Century Gothic" w:hAnsi="Century Gothic" w:cs="Tahoma"/>
                <w:b/>
                <w:bCs/>
                <w:sz w:val="16"/>
                <w:szCs w:val="16"/>
              </w:rPr>
            </w:pPr>
            <w:r w:rsidRPr="00A23DCF">
              <w:rPr>
                <w:rFonts w:ascii="Century Gothic" w:hAnsi="Century Gothic" w:cs="Tahoma"/>
                <w:b/>
                <w:sz w:val="16"/>
                <w:szCs w:val="16"/>
              </w:rPr>
              <w:t>ISTITUTO</w:t>
            </w:r>
            <w:r w:rsidRPr="00A23DCF">
              <w:rPr>
                <w:rFonts w:ascii="Century Gothic" w:hAnsi="Century Gothic" w:cs="Tahoma"/>
                <w:b/>
                <w:bCs/>
                <w:sz w:val="16"/>
                <w:szCs w:val="16"/>
              </w:rPr>
              <w:t xml:space="preserve"> </w:t>
            </w:r>
            <w:r w:rsidRPr="00A23DCF">
              <w:rPr>
                <w:rFonts w:ascii="Century Gothic" w:hAnsi="Century Gothic" w:cs="Tahoma"/>
                <w:b/>
                <w:sz w:val="16"/>
                <w:szCs w:val="16"/>
              </w:rPr>
              <w:t>COMPRENSIVO STATALE</w:t>
            </w:r>
          </w:p>
          <w:p w14:paraId="6A506D2A" w14:textId="77777777" w:rsidR="007517C2" w:rsidRPr="00A23DCF" w:rsidRDefault="007517C2" w:rsidP="00945F81">
            <w:pPr>
              <w:pStyle w:val="Titolo1"/>
              <w:rPr>
                <w:rFonts w:ascii="Century Gothic" w:hAnsi="Century Gothic" w:cs="Tahoma"/>
                <w:b/>
                <w:bCs/>
                <w:sz w:val="16"/>
                <w:szCs w:val="16"/>
              </w:rPr>
            </w:pPr>
            <w:r w:rsidRPr="00A23DCF">
              <w:rPr>
                <w:rFonts w:ascii="Century Gothic" w:hAnsi="Century Gothic" w:cs="Tahoma"/>
                <w:b/>
                <w:bCs/>
                <w:sz w:val="16"/>
                <w:szCs w:val="16"/>
              </w:rPr>
              <w:t>“Paride Del Pozzo”</w:t>
            </w:r>
          </w:p>
          <w:p w14:paraId="2A78DDCB" w14:textId="77777777" w:rsidR="007517C2" w:rsidRPr="00A23DCF" w:rsidRDefault="007517C2" w:rsidP="00945F81">
            <w:pPr>
              <w:jc w:val="center"/>
              <w:rPr>
                <w:sz w:val="16"/>
                <w:szCs w:val="16"/>
              </w:rPr>
            </w:pPr>
            <w:r w:rsidRPr="00A23DCF">
              <w:rPr>
                <w:sz w:val="16"/>
                <w:szCs w:val="16"/>
              </w:rPr>
              <w:sym w:font="Wingdings" w:char="F02A"/>
            </w:r>
            <w:r w:rsidRPr="00A23DCF">
              <w:rPr>
                <w:sz w:val="16"/>
                <w:szCs w:val="16"/>
              </w:rPr>
              <w:t xml:space="preserve"> Via S. Spirito, 6 - PIMONTE (NA) - C.A.P.: 80050 - </w:t>
            </w:r>
            <w:r w:rsidRPr="00A23DCF">
              <w:rPr>
                <w:sz w:val="16"/>
                <w:szCs w:val="16"/>
              </w:rPr>
              <w:sym w:font="Wingdings" w:char="F028"/>
            </w:r>
            <w:r w:rsidRPr="00A23DCF">
              <w:rPr>
                <w:i/>
                <w:iCs/>
                <w:sz w:val="16"/>
                <w:szCs w:val="16"/>
              </w:rPr>
              <w:t>Tel</w:t>
            </w:r>
            <w:r w:rsidRPr="00A23DCF">
              <w:rPr>
                <w:sz w:val="16"/>
                <w:szCs w:val="16"/>
              </w:rPr>
              <w:t xml:space="preserve">: 0818792130 - </w:t>
            </w:r>
            <w:r w:rsidRPr="00A23DCF">
              <w:rPr>
                <w:sz w:val="16"/>
                <w:szCs w:val="16"/>
              </w:rPr>
              <w:sym w:font="Wingdings" w:char="F032"/>
            </w:r>
            <w:r w:rsidRPr="00A23DCF">
              <w:rPr>
                <w:sz w:val="16"/>
                <w:szCs w:val="16"/>
              </w:rPr>
              <w:t xml:space="preserve"> </w:t>
            </w:r>
            <w:r w:rsidRPr="00A23DCF">
              <w:rPr>
                <w:i/>
                <w:iCs/>
                <w:sz w:val="16"/>
                <w:szCs w:val="16"/>
              </w:rPr>
              <w:t>Fax</w:t>
            </w:r>
            <w:r w:rsidRPr="00A23DCF">
              <w:rPr>
                <w:sz w:val="16"/>
                <w:szCs w:val="16"/>
              </w:rPr>
              <w:t>: 0818749957</w:t>
            </w:r>
          </w:p>
          <w:p w14:paraId="79E1800C" w14:textId="77777777" w:rsidR="007517C2" w:rsidRPr="00A23DCF" w:rsidRDefault="007517C2" w:rsidP="00945F81">
            <w:pPr>
              <w:pStyle w:val="Intestazione"/>
              <w:jc w:val="center"/>
              <w:rPr>
                <w:i/>
                <w:iCs/>
                <w:sz w:val="16"/>
                <w:szCs w:val="16"/>
              </w:rPr>
            </w:pPr>
            <w:r w:rsidRPr="00A23DCF">
              <w:rPr>
                <w:i/>
                <w:sz w:val="16"/>
                <w:szCs w:val="16"/>
              </w:rPr>
              <w:sym w:font="Wingdings" w:char="F02B"/>
            </w:r>
            <w:r w:rsidRPr="00A23DCF">
              <w:rPr>
                <w:i/>
                <w:sz w:val="16"/>
                <w:szCs w:val="16"/>
              </w:rPr>
              <w:t xml:space="preserve"> NAIC86400X@istruzione.it</w:t>
            </w:r>
            <w:r w:rsidRPr="00A23DCF">
              <w:rPr>
                <w:sz w:val="16"/>
                <w:szCs w:val="16"/>
              </w:rPr>
              <w:t xml:space="preserve"> - </w:t>
            </w:r>
            <w:r w:rsidRPr="008D43BB">
              <w:rPr>
                <w:i/>
                <w:iCs/>
                <w:sz w:val="16"/>
                <w:szCs w:val="16"/>
              </w:rPr>
              <w:t>http://www.icsdelpozzo.edu.it</w:t>
            </w:r>
            <w:r w:rsidRPr="00A23DCF">
              <w:rPr>
                <w:i/>
                <w:iCs/>
                <w:sz w:val="16"/>
                <w:szCs w:val="16"/>
              </w:rPr>
              <w:t xml:space="preserve"> </w:t>
            </w:r>
          </w:p>
          <w:p w14:paraId="5AFA3B40" w14:textId="77777777" w:rsidR="007517C2" w:rsidRPr="00A23DCF" w:rsidRDefault="007517C2" w:rsidP="00945F81">
            <w:pPr>
              <w:pStyle w:val="Intestazione"/>
              <w:jc w:val="center"/>
              <w:rPr>
                <w:i/>
                <w:iCs/>
                <w:sz w:val="16"/>
                <w:szCs w:val="16"/>
                <w:lang w:val="en-US"/>
              </w:rPr>
            </w:pPr>
            <w:r w:rsidRPr="00A23DCF">
              <w:rPr>
                <w:i/>
                <w:iCs/>
                <w:sz w:val="16"/>
                <w:szCs w:val="16"/>
                <w:lang w:val="en-US"/>
              </w:rPr>
              <w:t xml:space="preserve">PEC: </w:t>
            </w:r>
            <w:r w:rsidRPr="00A23DCF">
              <w:rPr>
                <w:i/>
                <w:sz w:val="16"/>
                <w:szCs w:val="16"/>
                <w:lang w:val="en-US"/>
              </w:rPr>
              <w:t>NAIC86400X@pec.istruzione.it</w:t>
            </w:r>
          </w:p>
          <w:p w14:paraId="4CBFFFDC" w14:textId="77777777" w:rsidR="007517C2" w:rsidRPr="00A23DCF" w:rsidRDefault="007517C2" w:rsidP="00945F81">
            <w:pPr>
              <w:jc w:val="center"/>
              <w:rPr>
                <w:sz w:val="16"/>
                <w:szCs w:val="16"/>
                <w:lang w:val="en-US"/>
              </w:rPr>
            </w:pPr>
            <w:r w:rsidRPr="00A23DCF">
              <w:rPr>
                <w:rFonts w:ascii="Arial" w:hAnsi="Arial" w:cs="Arial"/>
                <w:b/>
                <w:sz w:val="16"/>
                <w:szCs w:val="16"/>
                <w:lang w:val="en-US"/>
              </w:rPr>
              <w:t>C.MEC. NAIC86400X                                                      C.F. 82008870634</w:t>
            </w:r>
          </w:p>
        </w:tc>
        <w:tc>
          <w:tcPr>
            <w:tcW w:w="758" w:type="pct"/>
            <w:vAlign w:val="center"/>
          </w:tcPr>
          <w:p w14:paraId="7CC76D31" w14:textId="77777777" w:rsidR="007517C2" w:rsidRDefault="007517C2" w:rsidP="00945F81">
            <w:pPr>
              <w:pStyle w:val="Didascalia"/>
              <w:widowControl/>
              <w:rPr>
                <w:rFonts w:ascii="Century Gothic" w:hAnsi="Century Gothic"/>
                <w:szCs w:val="30"/>
              </w:rPr>
            </w:pPr>
            <w:r w:rsidRPr="007A3E2F">
              <w:rPr>
                <w:rFonts w:ascii="Century Gothic" w:hAnsi="Century Gothic"/>
                <w:noProof/>
                <w:szCs w:val="30"/>
              </w:rPr>
              <w:drawing>
                <wp:inline distT="0" distB="0" distL="0" distR="0" wp14:anchorId="0DAD3B98" wp14:editId="49D3EF77">
                  <wp:extent cx="793750" cy="787400"/>
                  <wp:effectExtent l="0" t="0" r="635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0" cy="787400"/>
                          </a:xfrm>
                          <a:prstGeom prst="rect">
                            <a:avLst/>
                          </a:prstGeom>
                          <a:noFill/>
                          <a:ln>
                            <a:noFill/>
                          </a:ln>
                        </pic:spPr>
                      </pic:pic>
                    </a:graphicData>
                  </a:graphic>
                </wp:inline>
              </w:drawing>
            </w:r>
          </w:p>
        </w:tc>
      </w:tr>
    </w:tbl>
    <w:p w14:paraId="7A586A18" w14:textId="77777777" w:rsidR="0017183A" w:rsidRDefault="0017183A"/>
    <w:p w14:paraId="2CEB16CD" w14:textId="0ABE0D2E" w:rsidR="007517C2" w:rsidRPr="007517C2" w:rsidRDefault="00285977" w:rsidP="007517C2">
      <w:pPr>
        <w:jc w:val="center"/>
        <w:rPr>
          <w:rFonts w:asciiTheme="minorHAnsi" w:hAnsiTheme="minorHAnsi" w:cstheme="minorHAnsi"/>
          <w:sz w:val="22"/>
        </w:rPr>
      </w:pPr>
      <w:r>
        <w:rPr>
          <w:rFonts w:asciiTheme="minorHAnsi" w:hAnsiTheme="minorHAnsi" w:cstheme="minorHAnsi"/>
          <w:sz w:val="22"/>
        </w:rPr>
        <w:t xml:space="preserve">Circ. n. </w:t>
      </w:r>
      <w:r w:rsidR="00CD577C">
        <w:rPr>
          <w:rFonts w:asciiTheme="minorHAnsi" w:hAnsiTheme="minorHAnsi" w:cstheme="minorHAnsi"/>
          <w:sz w:val="22"/>
        </w:rPr>
        <w:t>1</w:t>
      </w:r>
      <w:r w:rsidR="004F7DE5">
        <w:rPr>
          <w:rFonts w:asciiTheme="minorHAnsi" w:hAnsiTheme="minorHAnsi" w:cstheme="minorHAnsi"/>
          <w:sz w:val="22"/>
        </w:rPr>
        <w:t>32</w:t>
      </w:r>
      <w:r w:rsidR="007517C2" w:rsidRPr="007517C2">
        <w:rPr>
          <w:rFonts w:asciiTheme="minorHAnsi" w:hAnsiTheme="minorHAnsi" w:cstheme="minorHAnsi"/>
          <w:sz w:val="22"/>
        </w:rPr>
        <w:tab/>
      </w:r>
      <w:r w:rsidR="007517C2" w:rsidRPr="007517C2">
        <w:rPr>
          <w:rFonts w:asciiTheme="minorHAnsi" w:hAnsiTheme="minorHAnsi" w:cstheme="minorHAnsi"/>
          <w:sz w:val="22"/>
        </w:rPr>
        <w:tab/>
      </w:r>
      <w:r w:rsidR="007517C2" w:rsidRPr="007517C2">
        <w:rPr>
          <w:rFonts w:asciiTheme="minorHAnsi" w:hAnsiTheme="minorHAnsi" w:cstheme="minorHAnsi"/>
          <w:sz w:val="22"/>
        </w:rPr>
        <w:tab/>
      </w:r>
      <w:r w:rsidR="007517C2" w:rsidRPr="007517C2">
        <w:rPr>
          <w:rFonts w:asciiTheme="minorHAnsi" w:hAnsiTheme="minorHAnsi" w:cstheme="minorHAnsi"/>
          <w:sz w:val="22"/>
        </w:rPr>
        <w:tab/>
      </w:r>
      <w:r w:rsidR="007517C2" w:rsidRPr="007517C2">
        <w:rPr>
          <w:rFonts w:asciiTheme="minorHAnsi" w:hAnsiTheme="minorHAnsi" w:cstheme="minorHAnsi"/>
          <w:sz w:val="22"/>
        </w:rPr>
        <w:tab/>
      </w:r>
      <w:r w:rsidR="007517C2" w:rsidRPr="007517C2">
        <w:rPr>
          <w:rFonts w:asciiTheme="minorHAnsi" w:hAnsiTheme="minorHAnsi" w:cstheme="minorHAnsi"/>
          <w:sz w:val="22"/>
        </w:rPr>
        <w:tab/>
      </w:r>
      <w:r w:rsidR="007517C2" w:rsidRPr="007517C2">
        <w:rPr>
          <w:rFonts w:asciiTheme="minorHAnsi" w:hAnsiTheme="minorHAnsi" w:cstheme="minorHAnsi"/>
          <w:sz w:val="22"/>
        </w:rPr>
        <w:tab/>
      </w:r>
      <w:r w:rsidR="007517C2" w:rsidRPr="007517C2">
        <w:rPr>
          <w:rFonts w:asciiTheme="minorHAnsi" w:hAnsiTheme="minorHAnsi" w:cstheme="minorHAnsi"/>
          <w:sz w:val="22"/>
        </w:rPr>
        <w:tab/>
      </w:r>
      <w:r w:rsidR="007517C2" w:rsidRPr="007517C2">
        <w:rPr>
          <w:rFonts w:asciiTheme="minorHAnsi" w:hAnsiTheme="minorHAnsi" w:cstheme="minorHAnsi"/>
          <w:sz w:val="22"/>
        </w:rPr>
        <w:tab/>
      </w:r>
      <w:r w:rsidR="000533E7">
        <w:rPr>
          <w:rFonts w:asciiTheme="minorHAnsi" w:hAnsiTheme="minorHAnsi" w:cstheme="minorHAnsi"/>
          <w:sz w:val="22"/>
        </w:rPr>
        <w:t>Pimonte</w:t>
      </w:r>
      <w:r>
        <w:rPr>
          <w:rFonts w:asciiTheme="minorHAnsi" w:hAnsiTheme="minorHAnsi" w:cstheme="minorHAnsi"/>
          <w:sz w:val="22"/>
        </w:rPr>
        <w:t>,</w:t>
      </w:r>
      <w:r w:rsidR="00CD577C">
        <w:rPr>
          <w:rFonts w:asciiTheme="minorHAnsi" w:hAnsiTheme="minorHAnsi" w:cstheme="minorHAnsi"/>
          <w:sz w:val="22"/>
        </w:rPr>
        <w:t xml:space="preserve"> 1</w:t>
      </w:r>
      <w:r w:rsidR="004440BC">
        <w:rPr>
          <w:rFonts w:asciiTheme="minorHAnsi" w:hAnsiTheme="minorHAnsi" w:cstheme="minorHAnsi"/>
          <w:sz w:val="22"/>
        </w:rPr>
        <w:t>5/02/2024</w:t>
      </w:r>
    </w:p>
    <w:p w14:paraId="51D68885" w14:textId="77777777" w:rsidR="007517C2" w:rsidRPr="007517C2" w:rsidRDefault="007517C2" w:rsidP="007517C2">
      <w:pPr>
        <w:jc w:val="center"/>
        <w:rPr>
          <w:rFonts w:asciiTheme="minorHAnsi" w:hAnsiTheme="minorHAnsi" w:cstheme="minorHAnsi"/>
          <w:sz w:val="22"/>
        </w:rPr>
      </w:pPr>
    </w:p>
    <w:p w14:paraId="6A7C6420" w14:textId="77777777" w:rsidR="004440BC" w:rsidRDefault="004440BC" w:rsidP="007517C2">
      <w:pPr>
        <w:jc w:val="right"/>
        <w:rPr>
          <w:rFonts w:asciiTheme="minorHAnsi" w:hAnsiTheme="minorHAnsi" w:cstheme="minorHAnsi"/>
          <w:sz w:val="22"/>
        </w:rPr>
      </w:pPr>
    </w:p>
    <w:p w14:paraId="20D10A5F" w14:textId="77777777" w:rsidR="004440BC" w:rsidRDefault="004440BC" w:rsidP="007517C2">
      <w:pPr>
        <w:jc w:val="right"/>
        <w:rPr>
          <w:rFonts w:asciiTheme="minorHAnsi" w:hAnsiTheme="minorHAnsi" w:cstheme="minorHAnsi"/>
          <w:sz w:val="22"/>
        </w:rPr>
      </w:pPr>
    </w:p>
    <w:p w14:paraId="2E402C30" w14:textId="411A1629" w:rsidR="007517C2" w:rsidRDefault="00930741" w:rsidP="007517C2">
      <w:pPr>
        <w:jc w:val="right"/>
        <w:rPr>
          <w:rFonts w:asciiTheme="minorHAnsi" w:hAnsiTheme="minorHAnsi" w:cstheme="minorHAnsi"/>
          <w:sz w:val="22"/>
        </w:rPr>
      </w:pPr>
      <w:r>
        <w:rPr>
          <w:rFonts w:asciiTheme="minorHAnsi" w:hAnsiTheme="minorHAnsi" w:cstheme="minorHAnsi"/>
          <w:sz w:val="22"/>
        </w:rPr>
        <w:t>A</w:t>
      </w:r>
      <w:r w:rsidR="00B103FC">
        <w:rPr>
          <w:rFonts w:asciiTheme="minorHAnsi" w:hAnsiTheme="minorHAnsi" w:cstheme="minorHAnsi"/>
          <w:sz w:val="22"/>
        </w:rPr>
        <w:t>l Personale Docente</w:t>
      </w:r>
    </w:p>
    <w:p w14:paraId="1F23B2B1" w14:textId="736C70A5" w:rsidR="00B103FC" w:rsidRPr="007517C2" w:rsidRDefault="00B103FC" w:rsidP="007517C2">
      <w:pPr>
        <w:jc w:val="right"/>
        <w:rPr>
          <w:rFonts w:asciiTheme="minorHAnsi" w:hAnsiTheme="minorHAnsi" w:cstheme="minorHAnsi"/>
          <w:sz w:val="22"/>
        </w:rPr>
      </w:pPr>
      <w:r>
        <w:rPr>
          <w:rFonts w:asciiTheme="minorHAnsi" w:hAnsiTheme="minorHAnsi" w:cstheme="minorHAnsi"/>
          <w:sz w:val="22"/>
        </w:rPr>
        <w:t>Al Personale ATA</w:t>
      </w:r>
    </w:p>
    <w:p w14:paraId="6EEBE70E" w14:textId="77777777" w:rsidR="007517C2" w:rsidRDefault="00CD577C" w:rsidP="007517C2">
      <w:pPr>
        <w:jc w:val="right"/>
        <w:rPr>
          <w:rFonts w:asciiTheme="minorHAnsi" w:hAnsiTheme="minorHAnsi" w:cstheme="minorHAnsi"/>
          <w:sz w:val="22"/>
        </w:rPr>
      </w:pPr>
      <w:r>
        <w:rPr>
          <w:rFonts w:asciiTheme="minorHAnsi" w:hAnsiTheme="minorHAnsi" w:cstheme="minorHAnsi"/>
          <w:sz w:val="22"/>
        </w:rPr>
        <w:t>Al sito web</w:t>
      </w:r>
    </w:p>
    <w:p w14:paraId="6B0BF813" w14:textId="77777777" w:rsidR="00CD577C" w:rsidRPr="007517C2" w:rsidRDefault="00CD577C" w:rsidP="007517C2">
      <w:pPr>
        <w:jc w:val="right"/>
        <w:rPr>
          <w:rFonts w:asciiTheme="minorHAnsi" w:hAnsiTheme="minorHAnsi" w:cstheme="minorHAnsi"/>
          <w:sz w:val="22"/>
        </w:rPr>
      </w:pPr>
      <w:r>
        <w:rPr>
          <w:rFonts w:asciiTheme="minorHAnsi" w:hAnsiTheme="minorHAnsi" w:cstheme="minorHAnsi"/>
          <w:sz w:val="22"/>
        </w:rPr>
        <w:t>Agli atti</w:t>
      </w:r>
    </w:p>
    <w:p w14:paraId="4538D1A3" w14:textId="77777777" w:rsidR="007517C2" w:rsidRPr="007517C2" w:rsidRDefault="007517C2" w:rsidP="007517C2">
      <w:pPr>
        <w:jc w:val="right"/>
        <w:rPr>
          <w:rFonts w:asciiTheme="minorHAnsi" w:hAnsiTheme="minorHAnsi" w:cstheme="minorHAnsi"/>
          <w:sz w:val="22"/>
        </w:rPr>
      </w:pPr>
    </w:p>
    <w:p w14:paraId="06D51096" w14:textId="77777777" w:rsidR="004440BC" w:rsidRDefault="004440BC" w:rsidP="00AC232D">
      <w:pPr>
        <w:pStyle w:val="Default"/>
        <w:rPr>
          <w:rFonts w:asciiTheme="minorHAnsi" w:hAnsiTheme="minorHAnsi" w:cstheme="minorHAnsi"/>
        </w:rPr>
      </w:pPr>
    </w:p>
    <w:p w14:paraId="4C7B6557" w14:textId="77777777" w:rsidR="004440BC" w:rsidRDefault="004440BC" w:rsidP="00AC232D">
      <w:pPr>
        <w:pStyle w:val="Default"/>
        <w:rPr>
          <w:rFonts w:asciiTheme="minorHAnsi" w:hAnsiTheme="minorHAnsi" w:cstheme="minorHAnsi"/>
        </w:rPr>
      </w:pPr>
    </w:p>
    <w:p w14:paraId="2FCF20E0" w14:textId="36EA102D" w:rsidR="007517C2" w:rsidRDefault="00182031" w:rsidP="00AC232D">
      <w:pPr>
        <w:pStyle w:val="Default"/>
        <w:rPr>
          <w:rFonts w:asciiTheme="minorHAnsi" w:hAnsiTheme="minorHAnsi" w:cstheme="minorHAnsi"/>
          <w:b/>
          <w:bCs/>
        </w:rPr>
      </w:pPr>
      <w:r w:rsidRPr="00AC232D">
        <w:rPr>
          <w:rFonts w:asciiTheme="minorHAnsi" w:hAnsiTheme="minorHAnsi" w:cstheme="minorHAnsi"/>
        </w:rPr>
        <w:t xml:space="preserve">Oggetto: </w:t>
      </w:r>
      <w:r w:rsidR="00CD577C" w:rsidRPr="00AC232D">
        <w:rPr>
          <w:rFonts w:asciiTheme="minorHAnsi" w:hAnsiTheme="minorHAnsi" w:cstheme="minorHAnsi"/>
        </w:rPr>
        <w:t xml:space="preserve"> </w:t>
      </w:r>
      <w:r w:rsidR="00CD577C" w:rsidRPr="00AC232D">
        <w:rPr>
          <w:rFonts w:asciiTheme="minorHAnsi" w:hAnsiTheme="minorHAnsi" w:cstheme="minorHAnsi"/>
          <w:b/>
          <w:bCs/>
        </w:rPr>
        <w:t>C</w:t>
      </w:r>
      <w:r w:rsidR="00B103FC">
        <w:rPr>
          <w:rFonts w:asciiTheme="minorHAnsi" w:hAnsiTheme="minorHAnsi" w:cstheme="minorHAnsi"/>
          <w:b/>
          <w:bCs/>
        </w:rPr>
        <w:t>essazioni dal servizio del personale scolastico dal 1°settembre 2024, a seguito delle disposizioni  in materia di accesso al trattamento di pensione anticipata, introdotte dall’art. 1, commi 136, 138 e 139, della Legge 30 dicembre 2023 n. 213- Indicazioni Operative</w:t>
      </w:r>
    </w:p>
    <w:p w14:paraId="65888824" w14:textId="77777777" w:rsidR="00B103FC" w:rsidRDefault="00B103FC" w:rsidP="00AC232D">
      <w:pPr>
        <w:pStyle w:val="Default"/>
        <w:rPr>
          <w:rFonts w:asciiTheme="minorHAnsi" w:hAnsiTheme="minorHAnsi" w:cstheme="minorHAnsi"/>
          <w:b/>
          <w:bCs/>
        </w:rPr>
      </w:pPr>
    </w:p>
    <w:p w14:paraId="282E3707" w14:textId="77777777" w:rsidR="00B103FC" w:rsidRDefault="00B103FC" w:rsidP="00AC232D">
      <w:pPr>
        <w:pStyle w:val="Default"/>
        <w:rPr>
          <w:rFonts w:asciiTheme="minorHAnsi" w:hAnsiTheme="minorHAnsi" w:cstheme="minorHAnsi"/>
          <w:b/>
          <w:bCs/>
        </w:rPr>
      </w:pPr>
    </w:p>
    <w:p w14:paraId="321F2A8F" w14:textId="6DC17C72" w:rsidR="00B103FC" w:rsidRPr="00B103FC" w:rsidRDefault="00B103FC" w:rsidP="00B103FC">
      <w:pPr>
        <w:pStyle w:val="Default"/>
        <w:jc w:val="both"/>
        <w:rPr>
          <w:rFonts w:asciiTheme="minorHAnsi" w:hAnsiTheme="minorHAnsi" w:cstheme="minorHAnsi"/>
        </w:rPr>
      </w:pPr>
      <w:r w:rsidRPr="00B103FC">
        <w:rPr>
          <w:rFonts w:asciiTheme="minorHAnsi" w:hAnsiTheme="minorHAnsi" w:cstheme="minorHAnsi"/>
        </w:rPr>
        <w:tab/>
        <w:t xml:space="preserve">     Si informa tutto il Personale interessato che il Ministero dell’Istruzione e del Merito Direzione Generale per il personale scolastico con la circolare n. 0016553 del 14.02.2023, condivisa con INPS, ha fornito indicazioni operative per l’attuazione dell’art. 1 commi 136, 138 e 139 della legge 30 dicembre 20023 n. 213 (Legge di Bilancio 2024) e le integrazioni alla circolare n. 54257 del 18 settembre 2023.</w:t>
      </w:r>
    </w:p>
    <w:p w14:paraId="382CEFDE" w14:textId="77777777" w:rsidR="00021FB8" w:rsidRPr="00AC232D" w:rsidRDefault="00021FB8" w:rsidP="00AC232D">
      <w:pPr>
        <w:rPr>
          <w:rFonts w:asciiTheme="minorHAnsi" w:hAnsiTheme="minorHAnsi" w:cstheme="minorHAnsi"/>
          <w:b/>
          <w:sz w:val="24"/>
          <w:szCs w:val="24"/>
        </w:rPr>
      </w:pPr>
    </w:p>
    <w:p w14:paraId="48C17B3E" w14:textId="210A69EC" w:rsidR="005F7212" w:rsidRDefault="00B103FC" w:rsidP="005F7212">
      <w:pPr>
        <w:jc w:val="both"/>
        <w:rPr>
          <w:rFonts w:ascii="Calibri" w:hAnsi="Calibri" w:cs="Calibri"/>
          <w:b/>
          <w:sz w:val="24"/>
          <w:szCs w:val="24"/>
        </w:rPr>
      </w:pPr>
      <w:r w:rsidRPr="005F7212">
        <w:rPr>
          <w:rFonts w:ascii="Calibri" w:hAnsi="Calibri" w:cs="Calibri"/>
          <w:bCs/>
          <w:sz w:val="24"/>
          <w:szCs w:val="24"/>
        </w:rPr>
        <w:t xml:space="preserve">L’art. 1, comma 138 della legge 30 dicembre 2023 n. 213, ha apportato alcune modifiche alla disciplina contenuta all’art. 16, comma 1-bis, del decreto legge 28 gennaio 2019, n. 4, convertito con modificazioni dalla legge 28 marzo 2019, n. 26, c.d. </w:t>
      </w:r>
      <w:r w:rsidRPr="005F7212">
        <w:rPr>
          <w:rFonts w:ascii="Calibri" w:hAnsi="Calibri" w:cs="Calibri"/>
          <w:b/>
          <w:sz w:val="24"/>
          <w:szCs w:val="24"/>
        </w:rPr>
        <w:t>“opzione donna”,</w:t>
      </w:r>
      <w:r>
        <w:rPr>
          <w:rFonts w:ascii="Calibri" w:hAnsi="Calibri" w:cs="Calibri"/>
          <w:b/>
          <w:sz w:val="24"/>
          <w:szCs w:val="24"/>
        </w:rPr>
        <w:t xml:space="preserve"> prevedendo che possono beneficiare del suddetto trattamento pensionistico le lavoratrici che entro il 31 dicembre 2023 abbiano maturato un’anzianità contributiva pari o superiore a 35 anni e un’età anagrafica di almeno 61 anni, ridotta di un anno per ogni figlio nel limite massimo di due anni e al ricorrere di una delle seguenti condizioni</w:t>
      </w:r>
      <w:r w:rsidR="005F7212">
        <w:rPr>
          <w:rFonts w:ascii="Calibri" w:hAnsi="Calibri" w:cs="Calibri"/>
          <w:b/>
          <w:sz w:val="24"/>
          <w:szCs w:val="24"/>
        </w:rPr>
        <w:t>:</w:t>
      </w:r>
    </w:p>
    <w:p w14:paraId="2D438DF5" w14:textId="77777777" w:rsidR="005F7212" w:rsidRDefault="005F7212" w:rsidP="005F7212">
      <w:pPr>
        <w:pStyle w:val="Paragrafoelenco"/>
        <w:numPr>
          <w:ilvl w:val="0"/>
          <w:numId w:val="5"/>
        </w:numPr>
        <w:jc w:val="both"/>
        <w:rPr>
          <w:rFonts w:ascii="Calibri" w:hAnsi="Calibri" w:cs="Calibri"/>
          <w:b/>
          <w:sz w:val="24"/>
          <w:szCs w:val="24"/>
        </w:rPr>
      </w:pPr>
      <w:r>
        <w:rPr>
          <w:rFonts w:ascii="Calibri" w:hAnsi="Calibri" w:cs="Calibri"/>
          <w:b/>
          <w:sz w:val="24"/>
          <w:szCs w:val="24"/>
        </w:rPr>
        <w:t>Assistenza ex art. 3, comma 3, legge 5 febbraio 1992, n. 104;</w:t>
      </w:r>
    </w:p>
    <w:p w14:paraId="4B90DDD3" w14:textId="77777777" w:rsidR="005F7212" w:rsidRDefault="005F7212" w:rsidP="005F7212">
      <w:pPr>
        <w:pStyle w:val="Paragrafoelenco"/>
        <w:numPr>
          <w:ilvl w:val="0"/>
          <w:numId w:val="5"/>
        </w:numPr>
        <w:jc w:val="both"/>
        <w:rPr>
          <w:rFonts w:ascii="Calibri" w:hAnsi="Calibri" w:cs="Calibri"/>
          <w:b/>
          <w:sz w:val="24"/>
          <w:szCs w:val="24"/>
        </w:rPr>
      </w:pPr>
      <w:r>
        <w:rPr>
          <w:rFonts w:ascii="Calibri" w:hAnsi="Calibri" w:cs="Calibri"/>
          <w:b/>
          <w:sz w:val="24"/>
          <w:szCs w:val="24"/>
        </w:rPr>
        <w:t>Riduzione capacità lavorativa con invalidità civile pari o superiore al 74%, come da lettere a) e b) del suddetto comma 1-bis.</w:t>
      </w:r>
      <w:r w:rsidR="003462B1" w:rsidRPr="005F7212">
        <w:rPr>
          <w:rFonts w:ascii="Calibri" w:hAnsi="Calibri" w:cs="Calibri"/>
          <w:b/>
          <w:sz w:val="24"/>
          <w:szCs w:val="24"/>
        </w:rPr>
        <w:t xml:space="preserve">  </w:t>
      </w:r>
    </w:p>
    <w:p w14:paraId="4EB62EBE" w14:textId="77777777" w:rsidR="005F7212" w:rsidRDefault="005F7212" w:rsidP="005F7212">
      <w:pPr>
        <w:jc w:val="both"/>
        <w:rPr>
          <w:rFonts w:ascii="Calibri" w:hAnsi="Calibri" w:cs="Calibri"/>
          <w:b/>
          <w:sz w:val="24"/>
          <w:szCs w:val="24"/>
        </w:rPr>
      </w:pPr>
    </w:p>
    <w:p w14:paraId="712CC313" w14:textId="77777777" w:rsidR="005F7212" w:rsidRDefault="005F7212" w:rsidP="005F7212">
      <w:pPr>
        <w:jc w:val="both"/>
        <w:rPr>
          <w:rFonts w:ascii="Calibri" w:hAnsi="Calibri" w:cs="Calibri"/>
          <w:b/>
          <w:sz w:val="24"/>
          <w:szCs w:val="24"/>
        </w:rPr>
      </w:pPr>
      <w:r w:rsidRPr="005F7212">
        <w:rPr>
          <w:rFonts w:ascii="Calibri" w:hAnsi="Calibri" w:cs="Calibri"/>
          <w:bCs/>
          <w:sz w:val="24"/>
          <w:szCs w:val="24"/>
        </w:rPr>
        <w:t>Il comma 139 del medesimo articolo, nel modificare l’art. 14.1 del decreto legge 28 gennaio 2019, n. 4, convertito, con modificazioni, dalla legge 28 marzo 2019, n. 26,</w:t>
      </w:r>
      <w:r>
        <w:rPr>
          <w:rFonts w:ascii="Calibri" w:hAnsi="Calibri" w:cs="Calibri"/>
          <w:b/>
          <w:sz w:val="24"/>
          <w:szCs w:val="24"/>
        </w:rPr>
        <w:t xml:space="preserve"> ha invece esteso, in via sperimentale, al 2024 il trattamento di “pensione anticipata flessibile”, fissando il termine finale del 28 febbraio 2024 per la presentazione da parte di tutto il personale scuola delle relative istanze di cessazione dal servizio.</w:t>
      </w:r>
    </w:p>
    <w:p w14:paraId="2EEB5025" w14:textId="77777777" w:rsidR="005F7212" w:rsidRDefault="005F7212" w:rsidP="005F7212">
      <w:pPr>
        <w:jc w:val="both"/>
        <w:rPr>
          <w:rFonts w:ascii="Calibri" w:hAnsi="Calibri" w:cs="Calibri"/>
          <w:b/>
          <w:sz w:val="24"/>
          <w:szCs w:val="24"/>
        </w:rPr>
      </w:pPr>
    </w:p>
    <w:p w14:paraId="68AAE9F6" w14:textId="13656319" w:rsidR="005F7212" w:rsidRDefault="005F7212" w:rsidP="00BE21FC">
      <w:pPr>
        <w:ind w:firstLine="708"/>
        <w:jc w:val="both"/>
        <w:rPr>
          <w:rFonts w:ascii="Calibri" w:hAnsi="Calibri" w:cs="Calibri"/>
          <w:b/>
          <w:sz w:val="24"/>
          <w:szCs w:val="24"/>
        </w:rPr>
      </w:pPr>
      <w:r>
        <w:rPr>
          <w:rFonts w:ascii="Calibri" w:hAnsi="Calibri" w:cs="Calibri"/>
          <w:b/>
          <w:sz w:val="24"/>
          <w:szCs w:val="24"/>
        </w:rPr>
        <w:t>Il novellato art. 14.1, in particolare, prevede la facoltà di accedere alla pensione anticipata al raggiungimento, nell’anno 2024, di un’età anagrafica di almeno 62 anni e di un’anzianità contributiva minima di 41 anni.</w:t>
      </w:r>
    </w:p>
    <w:p w14:paraId="52D90333" w14:textId="3014AF58" w:rsidR="005F7212" w:rsidRDefault="005F7212" w:rsidP="005F7212">
      <w:pPr>
        <w:jc w:val="both"/>
        <w:rPr>
          <w:rFonts w:ascii="Calibri" w:hAnsi="Calibri" w:cs="Calibri"/>
          <w:b/>
          <w:sz w:val="24"/>
          <w:szCs w:val="24"/>
        </w:rPr>
      </w:pPr>
      <w:r>
        <w:rPr>
          <w:rFonts w:ascii="Calibri" w:hAnsi="Calibri" w:cs="Calibri"/>
          <w:b/>
          <w:sz w:val="24"/>
          <w:szCs w:val="24"/>
        </w:rPr>
        <w:t xml:space="preserve">Per coloro che maturano i requisiti nel 2024  il trattamento di pensione anticipata è determinato secondo le regole di calcolo del sistema contributivo e in ogni caso il trattamento di pensione </w:t>
      </w:r>
      <w:r>
        <w:rPr>
          <w:rFonts w:ascii="Calibri" w:hAnsi="Calibri" w:cs="Calibri"/>
          <w:b/>
          <w:sz w:val="24"/>
          <w:szCs w:val="24"/>
        </w:rPr>
        <w:lastRenderedPageBreak/>
        <w:t>anticipata è riconosciuto per un valore lordo mensile massimo non superiore a quattro volte il trattamento minimo previsto a legislazione vigente</w:t>
      </w:r>
      <w:r w:rsidR="00BE21FC">
        <w:rPr>
          <w:rFonts w:ascii="Calibri" w:hAnsi="Calibri" w:cs="Calibri"/>
          <w:b/>
          <w:sz w:val="24"/>
          <w:szCs w:val="24"/>
        </w:rPr>
        <w:t>, per le mensilità di anticipo del pensionamento rispetto al momento in cui tale diritto maturerebbe a seguito del raggiungimento dei requisiti di accesso al sistema pensionistico.</w:t>
      </w:r>
    </w:p>
    <w:p w14:paraId="6362712B" w14:textId="510D4974" w:rsidR="00BE21FC" w:rsidRDefault="00BE21FC" w:rsidP="005F7212">
      <w:pPr>
        <w:jc w:val="both"/>
        <w:rPr>
          <w:rFonts w:ascii="Calibri" w:hAnsi="Calibri" w:cs="Calibri"/>
          <w:b/>
          <w:sz w:val="24"/>
          <w:szCs w:val="24"/>
        </w:rPr>
      </w:pPr>
      <w:r>
        <w:rPr>
          <w:rFonts w:ascii="Calibri" w:hAnsi="Calibri" w:cs="Calibri"/>
          <w:b/>
          <w:sz w:val="24"/>
          <w:szCs w:val="24"/>
        </w:rPr>
        <w:t>La pensione pertanto sarà liquidata in misura non superiore a quattro volte il trattamento minimo per il 2024 sino al compimento dell’età per la pensione di vecchiaia (67 anni per il biennio 2024/2025), raggiunta la quale verrà messo in pagamento l’intero importo della pensione.</w:t>
      </w:r>
    </w:p>
    <w:p w14:paraId="5B267026" w14:textId="77777777" w:rsidR="00BE21FC" w:rsidRDefault="00BE21FC" w:rsidP="005F7212">
      <w:pPr>
        <w:jc w:val="both"/>
        <w:rPr>
          <w:rFonts w:ascii="Calibri" w:hAnsi="Calibri" w:cs="Calibri"/>
          <w:b/>
          <w:sz w:val="24"/>
          <w:szCs w:val="24"/>
        </w:rPr>
      </w:pPr>
    </w:p>
    <w:p w14:paraId="33BDF67A" w14:textId="7CB0E2FE" w:rsidR="00BE21FC" w:rsidRDefault="00BE21FC" w:rsidP="00BE21FC">
      <w:pPr>
        <w:ind w:firstLine="708"/>
        <w:jc w:val="both"/>
        <w:rPr>
          <w:rFonts w:ascii="Calibri" w:hAnsi="Calibri" w:cs="Calibri"/>
          <w:b/>
          <w:sz w:val="24"/>
          <w:szCs w:val="24"/>
        </w:rPr>
      </w:pPr>
      <w:r>
        <w:rPr>
          <w:rFonts w:ascii="Calibri" w:hAnsi="Calibri" w:cs="Calibri"/>
          <w:b/>
          <w:sz w:val="24"/>
          <w:szCs w:val="24"/>
        </w:rPr>
        <w:t>Il termine ultimo per la presentazione delle relative istanze di cessazione dal servizio, con effetti dall’inizio dell’anno scolastico 2024/25, è fissato al 28 febbraio 2024.</w:t>
      </w:r>
    </w:p>
    <w:p w14:paraId="299700CC" w14:textId="77777777" w:rsidR="00BE21FC" w:rsidRDefault="00BE21FC" w:rsidP="00BE21FC">
      <w:pPr>
        <w:ind w:firstLine="708"/>
        <w:jc w:val="both"/>
        <w:rPr>
          <w:rFonts w:ascii="Calibri" w:hAnsi="Calibri" w:cs="Calibri"/>
          <w:b/>
          <w:sz w:val="24"/>
          <w:szCs w:val="24"/>
        </w:rPr>
      </w:pPr>
    </w:p>
    <w:p w14:paraId="0C8DD04B" w14:textId="6A1791AC" w:rsidR="00BE21FC" w:rsidRPr="000A7E0A" w:rsidRDefault="00BE21FC" w:rsidP="00BE21FC">
      <w:pPr>
        <w:ind w:firstLine="708"/>
        <w:jc w:val="both"/>
        <w:rPr>
          <w:rFonts w:ascii="Calibri" w:hAnsi="Calibri" w:cs="Calibri"/>
          <w:bCs/>
          <w:sz w:val="24"/>
          <w:szCs w:val="24"/>
        </w:rPr>
      </w:pPr>
      <w:r w:rsidRPr="000A7E0A">
        <w:rPr>
          <w:rFonts w:ascii="Calibri" w:hAnsi="Calibri" w:cs="Calibri"/>
          <w:bCs/>
          <w:sz w:val="24"/>
          <w:szCs w:val="24"/>
        </w:rPr>
        <w:t>Il Ministero, quindi, ha provveduto ad adeguare gli applicativi per la presentazione delle istanze on-line di cui alla nota n. 54257 del 18 settembre 2023, con esclusivo riguardo alla “Pensione anticipata flessibile” e alla c.d. “Opzione donna vincolata a condizioni soggettive”.</w:t>
      </w:r>
    </w:p>
    <w:p w14:paraId="1AE9FBB7" w14:textId="77777777" w:rsidR="00BE21FC" w:rsidRPr="000A7E0A" w:rsidRDefault="00BE21FC" w:rsidP="00BE21FC">
      <w:pPr>
        <w:ind w:firstLine="708"/>
        <w:jc w:val="both"/>
        <w:rPr>
          <w:rFonts w:ascii="Calibri" w:hAnsi="Calibri" w:cs="Calibri"/>
          <w:bCs/>
          <w:sz w:val="24"/>
          <w:szCs w:val="24"/>
        </w:rPr>
      </w:pPr>
    </w:p>
    <w:p w14:paraId="15A5792D" w14:textId="792B3014" w:rsidR="00BE21FC" w:rsidRDefault="00BE21FC" w:rsidP="00BE21FC">
      <w:pPr>
        <w:ind w:firstLine="708"/>
        <w:jc w:val="both"/>
        <w:rPr>
          <w:rFonts w:ascii="Calibri" w:hAnsi="Calibri" w:cs="Calibri"/>
          <w:b/>
          <w:sz w:val="24"/>
          <w:szCs w:val="24"/>
        </w:rPr>
      </w:pPr>
      <w:r>
        <w:rPr>
          <w:rFonts w:ascii="Calibri" w:hAnsi="Calibri" w:cs="Calibri"/>
          <w:b/>
          <w:sz w:val="24"/>
          <w:szCs w:val="24"/>
        </w:rPr>
        <w:t>Le istanze Polis disponibili sono:</w:t>
      </w:r>
    </w:p>
    <w:p w14:paraId="23B410B1" w14:textId="77777777" w:rsidR="00BE21FC" w:rsidRDefault="00BE21FC" w:rsidP="00BE21FC">
      <w:pPr>
        <w:ind w:firstLine="708"/>
        <w:jc w:val="both"/>
        <w:rPr>
          <w:rFonts w:ascii="Calibri" w:hAnsi="Calibri" w:cs="Calibri"/>
          <w:b/>
          <w:sz w:val="24"/>
          <w:szCs w:val="24"/>
        </w:rPr>
      </w:pPr>
    </w:p>
    <w:p w14:paraId="36B15F32" w14:textId="40913909" w:rsidR="00BE21FC" w:rsidRDefault="00BE21FC" w:rsidP="00BE21FC">
      <w:pPr>
        <w:pStyle w:val="Paragrafoelenco"/>
        <w:numPr>
          <w:ilvl w:val="0"/>
          <w:numId w:val="5"/>
        </w:numPr>
        <w:jc w:val="both"/>
        <w:rPr>
          <w:rFonts w:ascii="Calibri" w:hAnsi="Calibri" w:cs="Calibri"/>
          <w:b/>
          <w:sz w:val="24"/>
          <w:szCs w:val="24"/>
        </w:rPr>
      </w:pPr>
      <w:r>
        <w:rPr>
          <w:rFonts w:ascii="Calibri" w:hAnsi="Calibri" w:cs="Calibri"/>
          <w:b/>
          <w:sz w:val="24"/>
          <w:szCs w:val="24"/>
        </w:rPr>
        <w:t>Cessazioni On-Line – personale docente ed ATA – Pensione anticipata flessibile</w:t>
      </w:r>
    </w:p>
    <w:p w14:paraId="055D5B32" w14:textId="2FBE6FFE" w:rsidR="000A7E0A" w:rsidRDefault="000A7E0A" w:rsidP="000A7E0A">
      <w:pPr>
        <w:pStyle w:val="Paragrafoelenco"/>
        <w:numPr>
          <w:ilvl w:val="0"/>
          <w:numId w:val="5"/>
        </w:numPr>
        <w:jc w:val="both"/>
        <w:rPr>
          <w:rFonts w:ascii="Calibri" w:hAnsi="Calibri" w:cs="Calibri"/>
          <w:b/>
          <w:sz w:val="24"/>
          <w:szCs w:val="24"/>
        </w:rPr>
      </w:pPr>
      <w:r>
        <w:rPr>
          <w:rFonts w:ascii="Calibri" w:hAnsi="Calibri" w:cs="Calibri"/>
          <w:b/>
          <w:sz w:val="24"/>
          <w:szCs w:val="24"/>
        </w:rPr>
        <w:t>Cessazioni On-Line – personale docente ed ATA –  Opzione donna- 2024</w:t>
      </w:r>
    </w:p>
    <w:p w14:paraId="179001FC" w14:textId="00C4793D" w:rsidR="000A7E0A" w:rsidRDefault="000A7E0A" w:rsidP="000A7E0A">
      <w:pPr>
        <w:pStyle w:val="Paragrafoelenco"/>
        <w:numPr>
          <w:ilvl w:val="0"/>
          <w:numId w:val="5"/>
        </w:numPr>
        <w:jc w:val="both"/>
        <w:rPr>
          <w:rFonts w:ascii="Calibri" w:hAnsi="Calibri" w:cs="Calibri"/>
          <w:b/>
          <w:sz w:val="24"/>
          <w:szCs w:val="24"/>
        </w:rPr>
      </w:pPr>
      <w:r>
        <w:rPr>
          <w:rFonts w:ascii="Calibri" w:hAnsi="Calibri" w:cs="Calibri"/>
          <w:b/>
          <w:sz w:val="24"/>
          <w:szCs w:val="24"/>
        </w:rPr>
        <w:t>Cessazioni On-Line – Dirigenti Scolastici – Pensione anticipata flessibile</w:t>
      </w:r>
    </w:p>
    <w:p w14:paraId="1B93FD8D" w14:textId="1B7670A1" w:rsidR="000A7E0A" w:rsidRDefault="000A7E0A" w:rsidP="000A7E0A">
      <w:pPr>
        <w:pStyle w:val="Paragrafoelenco"/>
        <w:numPr>
          <w:ilvl w:val="0"/>
          <w:numId w:val="5"/>
        </w:numPr>
        <w:jc w:val="both"/>
        <w:rPr>
          <w:rFonts w:ascii="Calibri" w:hAnsi="Calibri" w:cs="Calibri"/>
          <w:b/>
          <w:sz w:val="24"/>
          <w:szCs w:val="24"/>
        </w:rPr>
      </w:pPr>
      <w:r>
        <w:rPr>
          <w:rFonts w:ascii="Calibri" w:hAnsi="Calibri" w:cs="Calibri"/>
          <w:b/>
          <w:sz w:val="24"/>
          <w:szCs w:val="24"/>
        </w:rPr>
        <w:t>Cessazioni On-Line – Dirigenti Scolastici –  Opzione donna- 2024</w:t>
      </w:r>
    </w:p>
    <w:p w14:paraId="090FA4FC" w14:textId="77777777" w:rsidR="000A7E0A" w:rsidRDefault="000A7E0A" w:rsidP="000A7E0A">
      <w:pPr>
        <w:jc w:val="both"/>
        <w:rPr>
          <w:rFonts w:ascii="Calibri" w:hAnsi="Calibri" w:cs="Calibri"/>
          <w:b/>
          <w:sz w:val="24"/>
          <w:szCs w:val="24"/>
        </w:rPr>
      </w:pPr>
    </w:p>
    <w:p w14:paraId="752D4255" w14:textId="065F5673" w:rsidR="000A7E0A" w:rsidRDefault="000A7E0A" w:rsidP="000A7E0A">
      <w:pPr>
        <w:ind w:left="360" w:firstLine="348"/>
        <w:jc w:val="both"/>
        <w:rPr>
          <w:rFonts w:ascii="Calibri" w:hAnsi="Calibri" w:cs="Calibri"/>
          <w:b/>
          <w:sz w:val="24"/>
          <w:szCs w:val="24"/>
        </w:rPr>
      </w:pPr>
      <w:r>
        <w:rPr>
          <w:rFonts w:ascii="Calibri" w:hAnsi="Calibri" w:cs="Calibri"/>
          <w:b/>
          <w:sz w:val="24"/>
          <w:szCs w:val="24"/>
        </w:rPr>
        <w:t>Deve essere formulata un’unica istanza, in cui gli interessati devono anche esprimere la volontà di interrompere/non interrompere il rapporto di impiego, nel caso in cui venga accertata la mancata maturazione dei requisiti.</w:t>
      </w:r>
    </w:p>
    <w:p w14:paraId="2790CD4B" w14:textId="77777777" w:rsidR="000A7E0A" w:rsidRDefault="000A7E0A" w:rsidP="000A7E0A">
      <w:pPr>
        <w:ind w:left="360" w:firstLine="348"/>
        <w:jc w:val="both"/>
        <w:rPr>
          <w:rFonts w:ascii="Calibri" w:hAnsi="Calibri" w:cs="Calibri"/>
          <w:b/>
          <w:sz w:val="24"/>
          <w:szCs w:val="24"/>
        </w:rPr>
      </w:pPr>
    </w:p>
    <w:p w14:paraId="132FA1B7" w14:textId="4F96E986" w:rsidR="000A7E0A" w:rsidRDefault="000A7E0A" w:rsidP="000A7E0A">
      <w:pPr>
        <w:ind w:left="360" w:firstLine="348"/>
        <w:jc w:val="both"/>
        <w:rPr>
          <w:rFonts w:ascii="Calibri" w:hAnsi="Calibri" w:cs="Calibri"/>
          <w:b/>
          <w:sz w:val="24"/>
          <w:szCs w:val="24"/>
        </w:rPr>
      </w:pPr>
      <w:r>
        <w:rPr>
          <w:rFonts w:ascii="Calibri" w:hAnsi="Calibri" w:cs="Calibri"/>
          <w:b/>
          <w:sz w:val="24"/>
          <w:szCs w:val="24"/>
        </w:rPr>
        <w:t>Tutte le predette domande, valgono, per gli effetti, dal 1°settembre 2024.</w:t>
      </w:r>
    </w:p>
    <w:p w14:paraId="1B2621E0" w14:textId="77777777" w:rsidR="000A7E0A" w:rsidRDefault="000A7E0A" w:rsidP="00640CC3">
      <w:pPr>
        <w:ind w:left="360" w:firstLine="348"/>
        <w:jc w:val="both"/>
        <w:rPr>
          <w:rFonts w:ascii="Calibri" w:hAnsi="Calibri" w:cs="Calibri"/>
          <w:b/>
          <w:sz w:val="24"/>
          <w:szCs w:val="24"/>
        </w:rPr>
      </w:pPr>
    </w:p>
    <w:p w14:paraId="31FF2E3E" w14:textId="77777777" w:rsidR="000A7E0A" w:rsidRDefault="000A7E0A" w:rsidP="00640CC3">
      <w:pPr>
        <w:ind w:firstLine="708"/>
        <w:jc w:val="both"/>
        <w:rPr>
          <w:rFonts w:ascii="Calibri" w:hAnsi="Calibri" w:cs="Calibri"/>
          <w:b/>
          <w:sz w:val="24"/>
          <w:szCs w:val="24"/>
        </w:rPr>
      </w:pPr>
      <w:r>
        <w:rPr>
          <w:rFonts w:ascii="Calibri" w:hAnsi="Calibri" w:cs="Calibri"/>
          <w:b/>
          <w:sz w:val="24"/>
          <w:szCs w:val="24"/>
        </w:rPr>
        <w:t>Per la successiva presentazione delle domande di pensione all’INPS si rinvia alle</w:t>
      </w:r>
    </w:p>
    <w:p w14:paraId="704CCF43" w14:textId="0003EF47" w:rsidR="000A7E0A" w:rsidRDefault="000A7E0A" w:rsidP="00640CC3">
      <w:pPr>
        <w:jc w:val="both"/>
        <w:rPr>
          <w:rFonts w:ascii="Calibri" w:hAnsi="Calibri" w:cs="Calibri"/>
          <w:b/>
          <w:sz w:val="24"/>
          <w:szCs w:val="24"/>
        </w:rPr>
      </w:pPr>
      <w:r>
        <w:rPr>
          <w:rFonts w:ascii="Calibri" w:hAnsi="Calibri" w:cs="Calibri"/>
          <w:b/>
          <w:sz w:val="24"/>
          <w:szCs w:val="24"/>
        </w:rPr>
        <w:t>modalità descritte nella nota n. 54257 del 18 settembre 2023. In particolare nella domanda per opzione donna, messa a disposizione dell’INPS sul sito istituzionale, occorrerà indicare le specifiche condizioni soggettive.</w:t>
      </w:r>
    </w:p>
    <w:p w14:paraId="33E2DB68" w14:textId="77777777" w:rsidR="000A7E0A" w:rsidRDefault="000A7E0A" w:rsidP="000A7E0A">
      <w:pPr>
        <w:rPr>
          <w:rFonts w:ascii="Calibri" w:hAnsi="Calibri" w:cs="Calibri"/>
          <w:b/>
          <w:sz w:val="24"/>
          <w:szCs w:val="24"/>
        </w:rPr>
      </w:pPr>
    </w:p>
    <w:p w14:paraId="4827E94F" w14:textId="4FE3D96E" w:rsidR="000A7E0A" w:rsidRDefault="000A7E0A" w:rsidP="000A7E0A">
      <w:pPr>
        <w:rPr>
          <w:rFonts w:ascii="Calibri" w:hAnsi="Calibri" w:cs="Calibri"/>
          <w:b/>
          <w:sz w:val="24"/>
          <w:szCs w:val="24"/>
        </w:rPr>
      </w:pPr>
      <w:r>
        <w:rPr>
          <w:rFonts w:ascii="Calibri" w:hAnsi="Calibri" w:cs="Calibri"/>
          <w:b/>
          <w:sz w:val="24"/>
          <w:szCs w:val="24"/>
        </w:rPr>
        <w:t>APE  sociale</w:t>
      </w:r>
    </w:p>
    <w:p w14:paraId="2A2C6DE2" w14:textId="77777777" w:rsidR="000A7E0A" w:rsidRDefault="000A7E0A" w:rsidP="000A7E0A">
      <w:pPr>
        <w:rPr>
          <w:rFonts w:ascii="Calibri" w:hAnsi="Calibri" w:cs="Calibri"/>
          <w:b/>
          <w:sz w:val="24"/>
          <w:szCs w:val="24"/>
        </w:rPr>
      </w:pPr>
    </w:p>
    <w:p w14:paraId="25D3890E" w14:textId="669018E3" w:rsidR="000A7E0A" w:rsidRDefault="00526A17" w:rsidP="00526A17">
      <w:pPr>
        <w:ind w:firstLine="708"/>
        <w:rPr>
          <w:rFonts w:ascii="Calibri" w:hAnsi="Calibri" w:cs="Calibri"/>
          <w:b/>
          <w:sz w:val="24"/>
          <w:szCs w:val="24"/>
        </w:rPr>
      </w:pPr>
      <w:r w:rsidRPr="00526A17">
        <w:rPr>
          <w:rFonts w:ascii="Calibri" w:hAnsi="Calibri" w:cs="Calibri"/>
          <w:bCs/>
          <w:sz w:val="24"/>
          <w:szCs w:val="24"/>
        </w:rPr>
        <w:t xml:space="preserve">L’articolo 1, comma 136, della legge di Bilancio 2024, stabilisce che le disposizioni di cui all’art. 1, comma da 179 a 186, della legge 11 dicembre 2016, n. 232, e di cui all’art. 1, comma 92, della legge 30 dicembre 2021, n. 234, </w:t>
      </w:r>
      <w:r>
        <w:rPr>
          <w:rFonts w:ascii="Calibri" w:hAnsi="Calibri" w:cs="Calibri"/>
          <w:b/>
          <w:sz w:val="24"/>
          <w:szCs w:val="24"/>
        </w:rPr>
        <w:t>si applicano anche per l’anno 2024.</w:t>
      </w:r>
    </w:p>
    <w:p w14:paraId="4341053D" w14:textId="77777777" w:rsidR="00526A17" w:rsidRDefault="00526A17" w:rsidP="00526A17">
      <w:pPr>
        <w:ind w:firstLine="708"/>
        <w:rPr>
          <w:rFonts w:ascii="Calibri" w:hAnsi="Calibri" w:cs="Calibri"/>
          <w:b/>
          <w:sz w:val="24"/>
          <w:szCs w:val="24"/>
        </w:rPr>
      </w:pPr>
    </w:p>
    <w:p w14:paraId="3E0EF519" w14:textId="6C0C6150" w:rsidR="00526A17" w:rsidRDefault="00526A17" w:rsidP="00526A17">
      <w:pPr>
        <w:ind w:firstLine="708"/>
        <w:jc w:val="both"/>
        <w:rPr>
          <w:rFonts w:ascii="Calibri" w:hAnsi="Calibri" w:cs="Calibri"/>
          <w:b/>
          <w:sz w:val="24"/>
          <w:szCs w:val="24"/>
        </w:rPr>
      </w:pPr>
      <w:r>
        <w:rPr>
          <w:rFonts w:ascii="Calibri" w:hAnsi="Calibri" w:cs="Calibri"/>
          <w:b/>
          <w:sz w:val="24"/>
          <w:szCs w:val="24"/>
        </w:rPr>
        <w:t>In particolare, è stato previsto il posticipo del termine di scadenza del periodo di sperimentazione dell’APE sociale al 31 dicembre 2024, con innalzamento dell’età anagrafica minima prevista a 63 anni e 5 mesi e sono state confermate le condizioni per l’accesso a tale beneficio nei confronti dei lavoratori dipendenti che si trovano nelle condizioni di cui all’artt. 1, comma 179, lettera a), b) e c) della legge n. 232 del 2016 o che svolgono attività c.d. gravose.</w:t>
      </w:r>
    </w:p>
    <w:p w14:paraId="7CE0C48E" w14:textId="018D7C1D" w:rsidR="00526A17" w:rsidRDefault="00526A17" w:rsidP="00526A17">
      <w:pPr>
        <w:jc w:val="both"/>
        <w:rPr>
          <w:rFonts w:ascii="Calibri" w:hAnsi="Calibri" w:cs="Calibri"/>
          <w:b/>
          <w:sz w:val="24"/>
          <w:szCs w:val="24"/>
        </w:rPr>
      </w:pPr>
      <w:r>
        <w:rPr>
          <w:rFonts w:ascii="Calibri" w:hAnsi="Calibri" w:cs="Calibri"/>
          <w:b/>
          <w:sz w:val="24"/>
          <w:szCs w:val="24"/>
        </w:rPr>
        <w:t>Nell’elenco delle professioni c.d. gravose sono annoverati i “Professori di scuola primaria, pre-primaria r professioni assimilate” codice ISTAT 2.6.4</w:t>
      </w:r>
    </w:p>
    <w:p w14:paraId="48F6D5A5" w14:textId="77777777" w:rsidR="004440BC" w:rsidRDefault="004440BC" w:rsidP="00526A17">
      <w:pPr>
        <w:jc w:val="both"/>
        <w:rPr>
          <w:rFonts w:ascii="Calibri" w:hAnsi="Calibri" w:cs="Calibri"/>
          <w:b/>
          <w:sz w:val="24"/>
          <w:szCs w:val="24"/>
        </w:rPr>
      </w:pPr>
    </w:p>
    <w:p w14:paraId="7DBF76A8" w14:textId="35BD2AE9" w:rsidR="004440BC" w:rsidRDefault="004440BC" w:rsidP="00526A17">
      <w:pPr>
        <w:jc w:val="both"/>
        <w:rPr>
          <w:rFonts w:ascii="Calibri" w:hAnsi="Calibri" w:cs="Calibri"/>
          <w:b/>
          <w:sz w:val="24"/>
          <w:szCs w:val="24"/>
        </w:rPr>
      </w:pPr>
      <w:r>
        <w:rPr>
          <w:rFonts w:ascii="Calibri" w:hAnsi="Calibri" w:cs="Calibri"/>
          <w:b/>
          <w:sz w:val="24"/>
          <w:szCs w:val="24"/>
        </w:rPr>
        <w:lastRenderedPageBreak/>
        <w:tab/>
        <w:t>Le lavoratrici che hanno presentato domanda di cessazione Polis per “Opzione Donna” con esito positivo circa la verifica del diritto a pensione e che presenteranno anche la domanda di riconoscimento delle condizioni per l’accesso all’APE sociale, esclusivamente entro e non oltre il 31 marzo 2024, potranno, dopo aver ricevuto la comunicazione dall’INPS dell’esito positivo dell’istruttoria, comunicare tempestivamente alla competente struttura territoriale dell’INPS la rinuncia alla domanda di pensionamento opzione donna eventualmente già presentata.</w:t>
      </w:r>
    </w:p>
    <w:p w14:paraId="71C65F6F" w14:textId="77777777" w:rsidR="000A7E0A" w:rsidRDefault="000A7E0A" w:rsidP="000A7E0A">
      <w:pPr>
        <w:ind w:left="360"/>
        <w:jc w:val="both"/>
        <w:rPr>
          <w:rFonts w:ascii="Calibri" w:hAnsi="Calibri" w:cs="Calibri"/>
          <w:b/>
          <w:sz w:val="24"/>
          <w:szCs w:val="24"/>
        </w:rPr>
      </w:pPr>
    </w:p>
    <w:p w14:paraId="3F205A8C" w14:textId="70A17262" w:rsidR="005F7212" w:rsidRPr="00292AE4" w:rsidRDefault="004440BC" w:rsidP="00292AE4">
      <w:pPr>
        <w:jc w:val="both"/>
        <w:rPr>
          <w:rFonts w:ascii="Calibri" w:hAnsi="Calibri" w:cs="Calibri"/>
          <w:b/>
          <w:sz w:val="24"/>
          <w:szCs w:val="24"/>
        </w:rPr>
      </w:pPr>
      <w:r>
        <w:rPr>
          <w:rFonts w:ascii="Calibri" w:hAnsi="Calibri" w:cs="Calibri"/>
          <w:sz w:val="24"/>
          <w:szCs w:val="24"/>
        </w:rPr>
        <w:t>Ufficio Personale</w:t>
      </w:r>
    </w:p>
    <w:p w14:paraId="1B1BCB34" w14:textId="7F8265A6" w:rsidR="004440BC" w:rsidRDefault="004440BC" w:rsidP="004440BC">
      <w:pPr>
        <w:rPr>
          <w:rFonts w:ascii="Calibri" w:hAnsi="Calibri" w:cs="Calibri"/>
          <w:sz w:val="24"/>
          <w:szCs w:val="24"/>
        </w:rPr>
      </w:pPr>
      <w:r>
        <w:rPr>
          <w:rFonts w:ascii="Calibri" w:hAnsi="Calibri" w:cs="Calibri"/>
          <w:sz w:val="24"/>
          <w:szCs w:val="24"/>
        </w:rPr>
        <w:t>AA Formisano Giovanni</w:t>
      </w:r>
    </w:p>
    <w:p w14:paraId="148E9508" w14:textId="77777777" w:rsidR="005F7212" w:rsidRDefault="005F7212" w:rsidP="00AC232D">
      <w:pPr>
        <w:ind w:left="425"/>
        <w:jc w:val="right"/>
        <w:rPr>
          <w:rFonts w:ascii="Calibri" w:hAnsi="Calibri" w:cs="Calibri"/>
          <w:sz w:val="24"/>
          <w:szCs w:val="24"/>
        </w:rPr>
      </w:pPr>
    </w:p>
    <w:p w14:paraId="11CD1173" w14:textId="77777777" w:rsidR="005F7212" w:rsidRDefault="005F7212" w:rsidP="00AC232D">
      <w:pPr>
        <w:ind w:left="425"/>
        <w:jc w:val="right"/>
        <w:rPr>
          <w:rFonts w:ascii="Calibri" w:hAnsi="Calibri" w:cs="Calibri"/>
          <w:sz w:val="24"/>
          <w:szCs w:val="24"/>
        </w:rPr>
      </w:pPr>
    </w:p>
    <w:p w14:paraId="76A36867" w14:textId="7C7B129B" w:rsidR="005F7212" w:rsidRDefault="004440BC" w:rsidP="004440BC">
      <w:pPr>
        <w:ind w:left="425"/>
        <w:jc w:val="center"/>
        <w:rPr>
          <w:rFonts w:ascii="Calibri" w:hAnsi="Calibri" w:cs="Calibri"/>
          <w:sz w:val="24"/>
          <w:szCs w:val="24"/>
        </w:rPr>
      </w:pPr>
      <w:r>
        <w:rPr>
          <w:rFonts w:ascii="Calibri" w:hAnsi="Calibri" w:cs="Calibri"/>
          <w:sz w:val="24"/>
          <w:szCs w:val="24"/>
        </w:rPr>
        <w:t xml:space="preserve">                                                                                                                Il Dirigente Scolastico</w:t>
      </w:r>
    </w:p>
    <w:p w14:paraId="472A2E30" w14:textId="4CAA768B" w:rsidR="003462B1" w:rsidRPr="007E7A73" w:rsidRDefault="004440BC" w:rsidP="004440BC">
      <w:pPr>
        <w:ind w:left="425"/>
        <w:jc w:val="center"/>
        <w:rPr>
          <w:rFonts w:ascii="Calibri" w:hAnsi="Calibri" w:cs="Calibri"/>
          <w:sz w:val="24"/>
          <w:szCs w:val="24"/>
        </w:rPr>
      </w:pPr>
      <w:r>
        <w:rPr>
          <w:rFonts w:ascii="Calibri" w:hAnsi="Calibri" w:cs="Calibri"/>
          <w:sz w:val="24"/>
          <w:szCs w:val="24"/>
        </w:rPr>
        <w:t xml:space="preserve">                                                                                                                         </w:t>
      </w:r>
      <w:r w:rsidR="003462B1" w:rsidRPr="007E7A73">
        <w:rPr>
          <w:rFonts w:ascii="Calibri" w:hAnsi="Calibri" w:cs="Calibri"/>
          <w:sz w:val="24"/>
          <w:szCs w:val="24"/>
        </w:rPr>
        <w:t>Adele Porta</w:t>
      </w:r>
    </w:p>
    <w:p w14:paraId="383ABBF5" w14:textId="34EB9006" w:rsidR="003462B1" w:rsidRPr="00AC232D" w:rsidRDefault="003462B1" w:rsidP="004440BC">
      <w:pPr>
        <w:pStyle w:val="NormaleWeb"/>
        <w:shd w:val="clear" w:color="auto" w:fill="FFFFFF"/>
        <w:spacing w:before="0" w:beforeAutospacing="0" w:after="0" w:afterAutospacing="0"/>
        <w:jc w:val="right"/>
        <w:rPr>
          <w:rFonts w:ascii="Calibri" w:hAnsi="Calibri" w:cs="Calibri"/>
          <w:i/>
          <w:color w:val="222222"/>
          <w:sz w:val="18"/>
        </w:rPr>
      </w:pPr>
      <w:r w:rsidRPr="00AC232D">
        <w:rPr>
          <w:rFonts w:ascii="Calibri" w:hAnsi="Calibri" w:cs="Calibri"/>
          <w:i/>
          <w:color w:val="222222"/>
          <w:sz w:val="18"/>
        </w:rPr>
        <w:t>La firma è omessa ai sensi dell’articolo</w:t>
      </w:r>
    </w:p>
    <w:p w14:paraId="40497BA6" w14:textId="77777777" w:rsidR="003462B1" w:rsidRPr="00AC232D" w:rsidRDefault="003462B1" w:rsidP="004440BC">
      <w:pPr>
        <w:pStyle w:val="NormaleWeb"/>
        <w:shd w:val="clear" w:color="auto" w:fill="FFFFFF"/>
        <w:spacing w:before="0" w:beforeAutospacing="0" w:after="0" w:afterAutospacing="0"/>
        <w:jc w:val="right"/>
        <w:rPr>
          <w:rFonts w:ascii="Calibri" w:hAnsi="Calibri" w:cs="Calibri"/>
          <w:sz w:val="18"/>
        </w:rPr>
      </w:pPr>
      <w:r w:rsidRPr="00AC232D">
        <w:rPr>
          <w:rFonts w:ascii="Calibri" w:hAnsi="Calibri" w:cs="Calibri"/>
          <w:i/>
          <w:color w:val="222222"/>
          <w:sz w:val="18"/>
        </w:rPr>
        <w:t>3 comma 2 del D.lgs 12/2/1993, n. 39</w:t>
      </w:r>
    </w:p>
    <w:sectPr w:rsidR="003462B1" w:rsidRPr="00AC23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lbertus Extra Bold">
    <w:altName w:val="Berlin Sans FB Demi"/>
    <w:panose1 w:val="020E08020403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4271B8"/>
    <w:multiLevelType w:val="hybridMultilevel"/>
    <w:tmpl w:val="8EA0FE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6F67444"/>
    <w:multiLevelType w:val="hybridMultilevel"/>
    <w:tmpl w:val="DFBCAF4C"/>
    <w:lvl w:ilvl="0" w:tplc="126AAD68">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A853A1"/>
    <w:multiLevelType w:val="hybridMultilevel"/>
    <w:tmpl w:val="82CC65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F84014"/>
    <w:multiLevelType w:val="hybridMultilevel"/>
    <w:tmpl w:val="9D7F53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4344207"/>
    <w:multiLevelType w:val="hybridMultilevel"/>
    <w:tmpl w:val="75C0D138"/>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93195077">
    <w:abstractNumId w:val="0"/>
  </w:num>
  <w:num w:numId="2" w16cid:durableId="1090082858">
    <w:abstractNumId w:val="3"/>
  </w:num>
  <w:num w:numId="3" w16cid:durableId="141043046">
    <w:abstractNumId w:val="4"/>
  </w:num>
  <w:num w:numId="4" w16cid:durableId="1256747617">
    <w:abstractNumId w:val="2"/>
  </w:num>
  <w:num w:numId="5" w16cid:durableId="454493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C2"/>
    <w:rsid w:val="00013343"/>
    <w:rsid w:val="00021FB8"/>
    <w:rsid w:val="000517F1"/>
    <w:rsid w:val="000533E7"/>
    <w:rsid w:val="000A7E0A"/>
    <w:rsid w:val="0017183A"/>
    <w:rsid w:val="00182031"/>
    <w:rsid w:val="00273D34"/>
    <w:rsid w:val="00285977"/>
    <w:rsid w:val="00292AE4"/>
    <w:rsid w:val="00292C90"/>
    <w:rsid w:val="002A7827"/>
    <w:rsid w:val="00316E45"/>
    <w:rsid w:val="003462B1"/>
    <w:rsid w:val="003478C2"/>
    <w:rsid w:val="003A6151"/>
    <w:rsid w:val="003F1D9B"/>
    <w:rsid w:val="004440BC"/>
    <w:rsid w:val="004F7DE5"/>
    <w:rsid w:val="00526A17"/>
    <w:rsid w:val="005F4553"/>
    <w:rsid w:val="005F7212"/>
    <w:rsid w:val="00640CC3"/>
    <w:rsid w:val="006A27E0"/>
    <w:rsid w:val="006A59F3"/>
    <w:rsid w:val="006E5191"/>
    <w:rsid w:val="007517C2"/>
    <w:rsid w:val="007A2596"/>
    <w:rsid w:val="007B6796"/>
    <w:rsid w:val="00860FB7"/>
    <w:rsid w:val="008D482B"/>
    <w:rsid w:val="009177D4"/>
    <w:rsid w:val="00930741"/>
    <w:rsid w:val="00A45173"/>
    <w:rsid w:val="00AC232D"/>
    <w:rsid w:val="00B103FC"/>
    <w:rsid w:val="00B1263D"/>
    <w:rsid w:val="00B27BF3"/>
    <w:rsid w:val="00BE21FC"/>
    <w:rsid w:val="00C45276"/>
    <w:rsid w:val="00CD577C"/>
    <w:rsid w:val="00D1265B"/>
    <w:rsid w:val="00E02793"/>
    <w:rsid w:val="00EA0EAE"/>
    <w:rsid w:val="00EA1E7F"/>
    <w:rsid w:val="00F337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8DFBB1"/>
  <w15:chartTrackingRefBased/>
  <w15:docId w15:val="{08EAAF86-8A6C-48AF-A030-1FB6F3AB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17C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7517C2"/>
    <w:pPr>
      <w:keepNext/>
      <w:jc w:val="center"/>
      <w:outlineLvl w:val="0"/>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517C2"/>
    <w:rPr>
      <w:rFonts w:ascii="Times New Roman" w:eastAsia="Times New Roman" w:hAnsi="Times New Roman" w:cs="Times New Roman"/>
      <w:sz w:val="28"/>
      <w:szCs w:val="28"/>
      <w:lang w:eastAsia="it-IT"/>
    </w:rPr>
  </w:style>
  <w:style w:type="paragraph" w:styleId="Intestazione">
    <w:name w:val="header"/>
    <w:basedOn w:val="Normale"/>
    <w:link w:val="IntestazioneCarattere"/>
    <w:rsid w:val="007517C2"/>
    <w:pPr>
      <w:tabs>
        <w:tab w:val="center" w:pos="4819"/>
        <w:tab w:val="right" w:pos="9638"/>
      </w:tabs>
    </w:pPr>
  </w:style>
  <w:style w:type="character" w:customStyle="1" w:styleId="IntestazioneCarattere">
    <w:name w:val="Intestazione Carattere"/>
    <w:basedOn w:val="Carpredefinitoparagrafo"/>
    <w:link w:val="Intestazione"/>
    <w:rsid w:val="007517C2"/>
    <w:rPr>
      <w:rFonts w:ascii="Times New Roman" w:eastAsia="Times New Roman" w:hAnsi="Times New Roman" w:cs="Times New Roman"/>
      <w:sz w:val="20"/>
      <w:szCs w:val="20"/>
      <w:lang w:eastAsia="it-IT"/>
    </w:rPr>
  </w:style>
  <w:style w:type="paragraph" w:styleId="Didascalia">
    <w:name w:val="caption"/>
    <w:basedOn w:val="Normale"/>
    <w:next w:val="Normale"/>
    <w:qFormat/>
    <w:rsid w:val="007517C2"/>
    <w:pPr>
      <w:widowControl w:val="0"/>
      <w:jc w:val="center"/>
    </w:pPr>
    <w:rPr>
      <w:b/>
      <w:sz w:val="24"/>
    </w:rPr>
  </w:style>
  <w:style w:type="paragraph" w:styleId="NormaleWeb">
    <w:name w:val="Normal (Web)"/>
    <w:basedOn w:val="Normale"/>
    <w:uiPriority w:val="99"/>
    <w:unhideWhenUsed/>
    <w:rsid w:val="003462B1"/>
    <w:pPr>
      <w:overflowPunct/>
      <w:autoSpaceDE/>
      <w:autoSpaceDN/>
      <w:adjustRightInd/>
      <w:spacing w:before="100" w:beforeAutospacing="1" w:after="100" w:afterAutospacing="1"/>
      <w:textAlignment w:val="auto"/>
    </w:pPr>
    <w:rPr>
      <w:sz w:val="24"/>
      <w:szCs w:val="24"/>
    </w:rPr>
  </w:style>
  <w:style w:type="table" w:styleId="Grigliatabella">
    <w:name w:val="Table Grid"/>
    <w:basedOn w:val="Tabellanormale"/>
    <w:uiPriority w:val="39"/>
    <w:rsid w:val="00C45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82031"/>
    <w:rPr>
      <w:color w:val="0563C1" w:themeColor="hyperlink"/>
      <w:u w:val="single"/>
    </w:rPr>
  </w:style>
  <w:style w:type="paragraph" w:customStyle="1" w:styleId="Default">
    <w:name w:val="Default"/>
    <w:rsid w:val="00CD577C"/>
    <w:pPr>
      <w:autoSpaceDE w:val="0"/>
      <w:autoSpaceDN w:val="0"/>
      <w:adjustRightInd w:val="0"/>
      <w:spacing w:after="0" w:line="240" w:lineRule="auto"/>
    </w:pPr>
    <w:rPr>
      <w:rFonts w:ascii="Palatino Linotype" w:hAnsi="Palatino Linotype" w:cs="Palatino Linotype"/>
      <w:color w:val="000000"/>
      <w:sz w:val="24"/>
      <w:szCs w:val="24"/>
    </w:rPr>
  </w:style>
  <w:style w:type="paragraph" w:styleId="Paragrafoelenco">
    <w:name w:val="List Paragraph"/>
    <w:basedOn w:val="Normale"/>
    <w:uiPriority w:val="34"/>
    <w:qFormat/>
    <w:rsid w:val="00917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359B8-C5D8-4865-8E17-2F055304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990</Words>
  <Characters>5647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Mannini</dc:creator>
  <cp:keywords/>
  <dc:description/>
  <cp:lastModifiedBy>Pc3</cp:lastModifiedBy>
  <cp:revision>5</cp:revision>
  <cp:lastPrinted>2024-02-15T09:01:00Z</cp:lastPrinted>
  <dcterms:created xsi:type="dcterms:W3CDTF">2024-02-15T08:55:00Z</dcterms:created>
  <dcterms:modified xsi:type="dcterms:W3CDTF">2024-02-15T09:01:00Z</dcterms:modified>
</cp:coreProperties>
</file>